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val="en-US" w:eastAsia="zh-CN"/>
        </w:rPr>
        <w:t>乌苏市民政局</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 年 </w:t>
      </w:r>
      <w:r>
        <w:rPr>
          <w:rFonts w:eastAsia="仿宋_GB2312" w:hAnsi="宋体" w:cs="宋体" w:hint="eastAsia"/>
          <w:kern w:val="0"/>
          <w:sz w:val="36"/>
          <w:szCs w:val="36"/>
          <w:lang w:val="en-US" w:eastAsia="zh-CN"/>
        </w:rPr>
        <w:t>2</w:t>
      </w:r>
      <w:r>
        <w:rPr>
          <w:rFonts w:eastAsia="仿宋_GB2312" w:hAnsi="宋体" w:cs="宋体" w:hint="eastAsia"/>
          <w:kern w:val="0"/>
          <w:sz w:val="36"/>
          <w:szCs w:val="36"/>
        </w:rPr>
        <w:t xml:space="preserve"> 月 </w:t>
      </w:r>
      <w:r>
        <w:rPr>
          <w:rFonts w:eastAsia="仿宋_GB2312" w:hAnsi="宋体" w:cs="宋体" w:hint="eastAsia"/>
          <w:kern w:val="0"/>
          <w:sz w:val="36"/>
          <w:szCs w:val="36"/>
          <w:lang w:val="en-US" w:eastAsia="zh-CN"/>
        </w:rPr>
        <w:t>5</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（一）单位基本情况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1.部门主要职能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部门单位基本情况1.主要职能（一）根据国家、自治区和地区关于民政工作的法律、法规、规章、方针、政策，研究制定民政事业发展规划；研究拟订民政工作的政策并组织实施和监督检查。（二）拟订全市社会救助规划、政策和标准，健全城乡社会救助体系；负责城乡居民最低生活保障、临时救助、生活无着的人员救助和城市低收入家庭收入认定工作；负责农村五保供养和农村敬老院建设管理工作。（三）承担全市社会团体、民办非企业单位登记管理和监察责任。依法对全市社会团体、民办非企业单位进行登记管理、年检、执法监察；指导、监督全市社会团体和民办非企业单位登记管理工作。（四）指导全市城乡基层政权建设和基层群众自治组织建设；指导村（居）民委员会民主选举、民主决策、民主管理和民主监督工作，推动村务公开和基层民主政治建设；承担村务公开领导小组的具体工作。（五）承办全市行政区划工作，研究和修订行政区划规划；负责乡以上行政区域的设立、撤消、调整、更名和界限变更及政府驻地迁移的审核报批；承办与毗邻地县市的边界线勘界工作；负责全市行政区域边界线的勘定和管理工作；协调处理区内边界争议和纠纷；贯彻国家、自治区和地区地名法规，承办乡以上行政区划名称和地名命名、更名的审核报批，规范全市地名标志的设置和管理。（六）组织拟订和实施全市社会福利发展规划、政策和标准并组织实施；拟订社会福利机构管理办法、福利彩票发行管理办法并组织实施；组织拟订促进慈善事业发展规划和相关政策，组织、指导社会捐助工作；拟订社会福利企业认定标准和扶持政策并组织实施；负责老年人、孤儿和残疾人等特殊群体权益保障工作。（七）贯彻落实国家婚姻登记、殡葬管理和儿童收养政策，负责推进婚俗和殡葬改革，负责全市婚姻登记、殡葬管理和儿童收养工作，指导婚姻、殡葬、收养、救助服务机构管理工作。（八）会同有关部门拟订全市社会工作发展规划、政策和职业规范，推进社会工作人才队伍建设和相关志愿者队伍建设。（九）承办市政府交办的其他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乌苏市民政局机关行政编制15名，其中：行政编制6名，机关工勤事业编制9名。实有人员15人。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推进养老服务高质量发展。加大养老机构投入，为颐心园综合养老服务机构拨付运营补贴共计48.46万元。积极对接地区申请福彩公益金250万元用于养老机构的消防改造及失能失智托养中心设备购置。严格落实高龄老人津贴制度和免费体检制度，按照80岁到89岁老人50元/月、90岁到99岁老人120元/月、100岁及以上老人200元/月标准发放。认真落实残疾人“两项补贴”制度，共发放残疾人“两项补贴”资金413.144万元。</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二）做好困难群众救助兜底。将城市最低生活保障标准提高至616元/月/人，农村最低生活保障标准为5508元/年/人。截至目前，全市共纳入低保对象共3156户4968人。其中，城市低保对象977户1436人;农村低保对象2179户3532人。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着力加强儿童关爱保护。全面做好孤儿保障和管理工作，确保孤儿各类资金及时足额发放到位。截至目前，全市共有孤儿和事实无人抚养儿童191人，其中，孤儿31人，集中供养27人、分散供养儿童有4人，集中供养儿童基本生活费1610元/月/人；分散供养儿童基本生活费1150元/月/人，今年1-12月为孤儿发放基本生活费 61.226万元；孤儿物价补贴发了2480元。开展了助力孤儿教育，发放“福彩圆梦？孤儿助学工程”助学金6万元；为1名贫困家庭儿童患有先天性左侧外耳道闭锁疾病儿童申请了自治区“明天计划”的免费手术项目。今年在虹桥街道和平路社区开展了慈善捐赠活动，为我市226名品学兼优的孩子们进行了捐资助学，共捐资了208250元。做好未成年人保护工作，成立市未成年人保护工作委员会。建立了市、乡（镇）、村（居）三级关爱保护队伍，确保每个乡镇有一名以上儿童督导员，每个行政村（居委会）有一名儿童主任。目前，我市乡镇有儿童督导员22人，村（居）儿童主任177人。组织乡镇儿童督导员、村（居）儿童主任开展了《未成年</w:t>
      </w:r>
      <w:r>
        <w:rPr>
          <w:rFonts w:ascii="仿宋_GB2312" w:eastAsia="仿宋_GB2312" w:hAnsi="宋体" w:hint="eastAsia"/>
          <w:b/>
          <w:sz w:val="32"/>
          <w:szCs w:val="32"/>
          <w:lang w:val="en-US" w:eastAsia="zh-CN"/>
        </w:rPr>
        <w:t>人</w:t>
      </w:r>
      <w:r>
        <w:rPr>
          <w:rFonts w:ascii="仿宋_GB2312" w:eastAsia="仿宋_GB2312" w:hAnsi="宋体" w:hint="eastAsia"/>
          <w:b/>
          <w:sz w:val="32"/>
          <w:szCs w:val="32"/>
        </w:rPr>
        <w:t>保护法》宣传活动及未成年人防溺水宣传工作，从生活上、精神上及法律援助上给予帮扶和关爱。</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依法依规开展婚姻登记工作。1-12月办理登记结婚759对，离婚203对，补发结婚447对，补发离婚56对，协助有关部门查询婚姻关系480多次，婚姻登记率和登记合格率均达到100%，未发生过违规登记事件。在做好婚姻登记的同时，狠抓档案管理工作，指定专人负责管理婚姻档案资料，按照《婚姻登记档案管理办法》，结合创建的要求，及时按新办法进行档案整理，建立档案室，认真做到档案入柜，积极完善婚姻档案的收集、整理、查阅、登记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多举措做好殡葬管理工作。加强殡葬领域宣传，倡导群众文明祭扫，加强基础设施建设，已申请到乌苏市第二殡仪馆建设项目及资金。大力提升殡葬服务水平，不断规范殡葬服务方式、服务流程和收费标准，完善便民设施。加强公墓管理，认真贯彻执行《殡葬管理条例》和《公墓管理暂行办法》，做好公墓清理整顿，在全市开展殡葬业价格秩序、公益性安葬设施建设经营专项整治活动，依法查处违规违法行为，坚决禁止农村公益性墓地从事经营活动；严格履行监管职能，加强对承接殡仪馆公建民营项目单位新疆融兴盛景城市服务有限公司的监督管理，抓好殡葬服务机构维护稳定、疫情防控和安全生产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六）依法开展社团、民非登记管理工作。按照《社会团体登记管理条例》和《民办非企业单位登记管理条例》规定及相关政策，高质量地做好社会组织日常登记管理工作。不断提高服务质量，对社会组织“进门”前的网上申报材料严格审核，加大对“进门”后的动态管理和事后监督,同时严格执行登记限时办结制度，激发了社会组织活力，促进社会组织信息管理。2022年度，乌苏市共有社会组织 78家，其中社会团体58家，民办非企业单位20家，新成立2个，社会团体变更2个，社会团体注销1个；参加年检社会团体56家，社会服务机构15家，共计71家社会组织（含14家僵尸型）；社会团体年检合格38个,民非年检合格15个。</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七）做好地名区划和基层政权工作。对乌苏市地名词典2-8部分进行编纂，共计35条；完成乌苏市乡级行政区域界线相关数据进行统计；对全国地名信息政务管理平台12大项进行录入及修改，共计1091条，完成对乌苏市地名志进行编纂，共计118条。完成对全国基层政权系统涉及的乡镇、街道，村队社区基本情况、人员信息、社会工作者、社会服务机构、村（居）民约、村队、社区统一信用代码证等信息录入工作。收集、汇总全市业主委员会情况，目前乌苏市小区64个，物业服务企业24家、服务小区48个，社区居委会托管小区16个。业主委员会成立率42%，物业服务覆盖率75%。上报三个清单《基层群众性自治组织依法自治事项清单》25项、《基层群众性自治组织依法协助政府工作事项清单》19项、《基层自治组织减负工作事项清单》5项。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困难群众救助补助、残疾人两项补贴、80岁以上老人高龄津贴、孤儿助学金、第二殡仪馆建设、民办养老机构补助等重点项目，履行了城乡居民最低生活保障、临时救助、生活无着的人员救助、特困供养、老年人、孤儿和残疾人等特殊群体权益保障、贯彻落实国家婚姻登记、殡葬管理和儿童收养政策，指导婚姻、殡葬、收养、救助服务机构管理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本年度预算安排的重点项目支出5514.23万元，项目总支出5514.23万元，重点支出保障率为100%。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我单位年初预算数为1567.36万元，实际预算执行数1552.58万元，年初预算执行率为99.06%。</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全年预算数为5799.94万元，全年实际支出资金5799.94万元，全年预算执行率为100%。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我单位年初批复预算数1567.36万元，年中调整数4232.58万元，调整后全年预算数5799.94万元，预算调整率270.04%。</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年初政府采购预算数为53.65万元，实际政府采购数为53.65万元，年初政府采购执行率为100%。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民政局预算绩效管理工作实施办法》，《乌苏市民政局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乌苏市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2022年本单位基本支出全年预算总额285.71万元，其中：人员经费278.87万元，公用经费6.84万元。实际支出285.71万元，基本支出预算执行率100%。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预算为4.64万元，实际支出0.69万元，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14.82%，其中：因公出国（境）费预算为0万元，实际支出0万元；公务接待费预算为0万元，实际支出0万元；公务用车购置费预算为0万元，实际支出0万元；公务用车运行维护费预算为4.64万元，实际支出0.69万元，公务用车运行维护费控制率14.82%，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2022年本单位安排专项支出预算总额5514.23万元，实际支出5514.23万元，专项支出预算执行率100%。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2022年本单位共有12个资金项目，其中8个属经常性项目、4个属当年度新增项目，已完成项目12个、未完成项目0个。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本年我单位实施专项项目12个，涉及金额5514.23万元，其中：中央专项项目2个涉及金额4478.68万元，自治区专项项目3个涉及金额234.59万元，地区本级专项项目2个涉及金额77.00万元。</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（一）乌苏市民政局项目专项组织情况分析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我单位成立项目绩效管理小组，成员如下：</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曹援朝任组长，绩效评价工作职责为负责全盘工作。</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魏蓝任副组长，绩效评价工作职责为为对项目实施情况进行实地调查。</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各科室负责人及所有财务人员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5514.23万元，实际到位5514.23万元，实际支出5514.23万元。到位足额及时，预算编制依据充分，预算编制准确，资金不存在截留、挪用，支付审批合规、不存在用途改变、范围超支和虚列项目支出等情况；项目严格按照《乌苏市民政局财务管理制度》执行项目资金，实行专账核算、逐级审批。认真落实项目资金的使用各项管理制度，确保专款专用，及时拨付到位。</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预期目标完成程度：按预定目标完成了年初所设定的各项指标。专项经费实际支出未超出预算规定，保障了专项工作的开展。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7344.77万元，比上年减少249.12万元，主要原因是固定资产减少，财政应返还额度减少，其中：货币资金0万元，比上年减少0万元；财政应返还额度452.47万元，比上年减少58.18万元；房屋22854.39平方米5108.59万元，比上年减少114.04万元；车辆4辆1.41万元，比上年减少2.82万元；在建工程85.09万元，比上年增加58.18万元；办公设备及家具160.88万元，比上年减少84.77万元。我单位本年给村队工作队和社区调拨资产27.1万元，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我单位固定资产5184.53万元,其中:10套房屋5108.59万元，4辆车1.41万元，2个专用设备10.5万元，441个办公设备47.09万元。目前正在使用的固定资产总额5184.53万元，固定资产利用率为100%。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根据《行政事业单位资产管理制度》，对货币资金加强管理，统一设立银行存款账户，未经财政主管部门同意不允许单独设立财政监管以外的银行存款账户；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截止本年度固定资产账面净值5184.53万元，年末实际在用固定资产5184.53万元，固定资产利用率为100%。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部门单位整体支出自评表，共设置一级指标3个，二级指标7个，三级指标18个。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“在编人数”指标，预期指标值为“&gt;=15人”，实际完成值为“15人”，指标完成率是100%，达到预期目标。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“公务保障用车数量”指标，预期指标值为“&gt;=2辆”，实际完成值为“4辆”，指标完成率是100%，达到预期目标。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“80周岁以上老年人基本生活补贴发放范围”指标，预期指标值为“&gt;=90%”，实际完成值为“90%”，指标完成率是100%，达到预期目标。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享受困难残疾人生活补贴人数”指标，预期指标值为“&gt;=1537人”，实际完成值为“1435人”，指标完成率是93%，未达成预期目标，未完成的原因是：实际补贴人数减少，今后的改进措施：精细评估，精准预算。</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享受重度残疾人护理补贴人数”指标，预期指标值为“&gt;=1748人”，实际完成值为“1691人”，指标完成率是97%，未达成预期目标，未完成的原因是：实际补贴人数减少，今后的改进措施：精细评估，精准预算。</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“人员经费保障率”指标，预期指标值为“&gt;=90%”，实际完成值为“100%”，指标完成率是100%。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“公务正常运转率”指标，预期指标值为“&gt;=90%”，实际完成值为“100%”，指标完成率是100%。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“项目资金支付率”指标，预期指标值为“&gt;=90%”，实际完成值为“99%”，指标完成率是100%。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3.产出进度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“公用经费支付及时率”指标，预期指标值为“&gt;=90%”，实际完成值为“100%”，指标完成率是100%。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“资金拨付及时率”指标，预期指标值为“&gt;=90%”，实际完成值为“100%”，指标完成率是100%。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“人均运转经费数”指标，预期指标值为“&lt;=1.20万元”，实际完成值为“0.46万元”，指标完成率是38.33%。</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“项目支出成本”指标，预期指标值为“&lt;=1354.54万元”，实际完成值为“1354.54万元”，指标完成率是100%。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“运转保障经费”指标，预期指标值为“&lt;=21.63万元”，实际完成值为“6.84万元”，指标完成率是32%。</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成本指标共计3个，完成3个，达到成本控制及改善目标，成本指标完成。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（二）效益指标完成情况分析 </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“提高困难群众生活水平”指标；预期指标值：有效提高；实际完成值为“达成年度指标”；指标完成率为100%。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“改善老年人、残疾人生活质量”指标；预期指标值：不断改善；实际完成值为“达成年度指标”；指标完成率为100%。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社会效益指标共计2个，完成2个，达到单位履职能力对社会带来的影响预期目标，社会效益指标完成。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“确保民政救助政策持续实施”指标；预期指标值：有效保障；实际完成值为“达成年度指标”；指标完成率为100%。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“在职职工满意度”，预期指标值为“&gt;=90%”，实际完成值是100%，指标完成率是100%，达到在职职工对部门履职效果的满意度。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“补助对象满意度”，预期指标值为“&gt;=90%”，实际完成值是100%，指标完成率是100%，达到补助对象对部门履职效果的满意度。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满意度指标共计2个，完成2个，达到部门服务对象对部门履职效果的满意度，服务对象满意度指标完成。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 1.加强预算执行管理。做好事前审批、事中管理和事后监督工作，不断加快预算执行进度，推动预算执行按照资金计划有序进行。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 强化内部控制管理，严格按规定做好绩效目标申报、自评、公开等相关工作，提高财政资金使用绩效；加强实物资产管理，健全资产管理制度，规范资产清查和核算。</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1.加强预算绩效目标管理工作，明确预算项目绩效目标编制要求，分类别建立科学合理、细化量化、可比可测预算绩效指标体系，突出结果导向，重点考核实绩。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2B2A69"/>
    <w:rsid w:val="136672F1"/>
    <w:rsid w:val="5D9967A1"/>
    <w:rsid w:val="6FCB52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22</cp:revision>
  <dcterms:created xsi:type="dcterms:W3CDTF">2020-06-04T05:22:00Z</dcterms:created>
  <dcterms:modified xsi:type="dcterms:W3CDTF">2023-02-14T11:25:59Z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E9AD1338EF52492EBBE4F01004AE1254</vt:lpwstr>
  </property>
  <property fmtid="{D5CDD505-2E9C-101B-9397-08002B2CF9AE}" pid="3" name="KSOProductBuildVer">
    <vt:lpwstr>2052-11.8.2.8555</vt:lpwstr>
  </property>
</Properties>
</file>